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0F77" w14:textId="54C26C7C" w:rsidR="00461649" w:rsidRDefault="00461649" w:rsidP="00461649">
      <w:pPr>
        <w:jc w:val="center"/>
      </w:pPr>
      <w:r>
        <w:rPr>
          <w:b/>
          <w:sz w:val="32"/>
          <w:szCs w:val="32"/>
        </w:rPr>
        <w:t xml:space="preserve">L’ENERGIA AL CENTRO DI </w:t>
      </w:r>
      <w:r w:rsidR="00FA61DF" w:rsidRPr="00FA61DF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>ID.MED SHIPPING &amp; ENERGY FORUM A PALERMO</w:t>
      </w:r>
    </w:p>
    <w:p w14:paraId="19AE5013" w14:textId="66082D34" w:rsidR="00FA61DF" w:rsidRDefault="00461649" w:rsidP="00343870">
      <w:pPr>
        <w:jc w:val="both"/>
      </w:pPr>
      <w:r w:rsidRPr="008521B0">
        <w:rPr>
          <w:i/>
          <w:iCs/>
        </w:rPr>
        <w:t>Palermo, 2</w:t>
      </w:r>
      <w:r w:rsidR="00C917F3">
        <w:rPr>
          <w:i/>
          <w:iCs/>
        </w:rPr>
        <w:t>7</w:t>
      </w:r>
      <w:r w:rsidR="00FA61DF" w:rsidRPr="008521B0">
        <w:rPr>
          <w:i/>
          <w:iCs/>
        </w:rPr>
        <w:t xml:space="preserve"> giugno 2022.</w:t>
      </w:r>
      <w:r w:rsidR="00FA61DF">
        <w:t xml:space="preserve"> </w:t>
      </w:r>
      <w:r w:rsidR="005B1A9E" w:rsidRPr="005B1A9E">
        <w:t xml:space="preserve">La Sicilia rappresenta l’avanguardia dell’Italia nel Mediterraneo, un laboratorio di economia europea al centro del mare. </w:t>
      </w:r>
      <w:r w:rsidR="00FA61DF">
        <w:t xml:space="preserve">Questo il contesto di fondo da cui parte la seconda edizione di </w:t>
      </w:r>
      <w:r w:rsidR="00FA61DF" w:rsidRPr="00FB2841">
        <w:rPr>
          <w:b/>
        </w:rPr>
        <w:t>MID.MED SHIPPING &amp; ENERGY FORUM</w:t>
      </w:r>
      <w:r w:rsidR="00FA61DF">
        <w:t>, in programma in presenza a Palermo nella prestigiosa sede di Palazzo dei Normanni, sede dell’Assemblea Regionale Siciliana,</w:t>
      </w:r>
      <w:r w:rsidR="00465B07">
        <w:t xml:space="preserve"> e in live streaming</w:t>
      </w:r>
      <w:r w:rsidR="00FA61DF">
        <w:t xml:space="preserve"> il 30 giugno e 1</w:t>
      </w:r>
      <w:r w:rsidR="00465B07">
        <w:t xml:space="preserve"> l</w:t>
      </w:r>
      <w:r w:rsidR="00FA61DF">
        <w:t xml:space="preserve">uglio prossimi. </w:t>
      </w:r>
    </w:p>
    <w:p w14:paraId="1C7AEE5F" w14:textId="4A763354" w:rsidR="00461649" w:rsidRDefault="00461649" w:rsidP="00343870">
      <w:pPr>
        <w:jc w:val="both"/>
      </w:pPr>
      <w:r>
        <w:t xml:space="preserve">La produzione di </w:t>
      </w:r>
      <w:r w:rsidRPr="00461649">
        <w:t>energia come motore di sviluppo anche per il resto dell’economia</w:t>
      </w:r>
      <w:r w:rsidR="007B2626">
        <w:t>: q</w:t>
      </w:r>
      <w:r w:rsidRPr="00461649">
        <w:t>uest</w:t>
      </w:r>
      <w:r w:rsidR="008521B0">
        <w:t>a</w:t>
      </w:r>
      <w:r w:rsidRPr="00461649">
        <w:t xml:space="preserve"> è la f</w:t>
      </w:r>
      <w:r>
        <w:t xml:space="preserve">ilosofia che la Sicilia </w:t>
      </w:r>
      <w:r w:rsidR="008521B0">
        <w:t>abbraccia</w:t>
      </w:r>
      <w:r>
        <w:t xml:space="preserve"> a favore dell’Italia intera. L’isola al centro del Mediterraneo come hub energetico e</w:t>
      </w:r>
      <w:r w:rsidR="008521B0">
        <w:t>,</w:t>
      </w:r>
      <w:r>
        <w:t xml:space="preserve"> come tutti gli hub</w:t>
      </w:r>
      <w:r w:rsidR="008521B0">
        <w:t>,</w:t>
      </w:r>
      <w:r>
        <w:t xml:space="preserve"> reso importante dalla rete in cui si inserisce. </w:t>
      </w:r>
    </w:p>
    <w:p w14:paraId="7A5921C8" w14:textId="5A39D3E5" w:rsidR="00461649" w:rsidRDefault="00461649" w:rsidP="00B61553">
      <w:pPr>
        <w:jc w:val="both"/>
      </w:pPr>
      <w:r>
        <w:t xml:space="preserve">MID.MED Shipping &amp; Energy Forum dedica un’attenzione specifica al tema dell’energia, in tutti i suoi aspetti, l’intero pomeriggio della prima giornata. Con l’introduzione di </w:t>
      </w:r>
      <w:r w:rsidRPr="00461649">
        <w:t>Daniela Baglieri, Assessore dell'energia e d</w:t>
      </w:r>
      <w:r>
        <w:t xml:space="preserve">ei servizi di pubblica utilità della </w:t>
      </w:r>
      <w:r w:rsidRPr="00461649">
        <w:t>Regione Siciliana</w:t>
      </w:r>
      <w:r>
        <w:t xml:space="preserve">, e dopo l’inquadramento di </w:t>
      </w:r>
      <w:r w:rsidRPr="00461649">
        <w:t>Antonio Martini, Direttore Generale Dipartimento Energia</w:t>
      </w:r>
      <w:r>
        <w:t xml:space="preserve">, il ruolo della Sicilia </w:t>
      </w:r>
      <w:r w:rsidR="00B61553">
        <w:t xml:space="preserve">e la sua importanza nel Mediterraneo vengono approfonditi da Consuelo Carreras, Ricercatrice del notissimo think tank SR-M, che giustamente inserisce l’isola nel necessario protagonismo dell’intera penisola come hub energetico.  Un ruolo che ha una declinazione “green” </w:t>
      </w:r>
      <w:r w:rsidR="00465B07">
        <w:t>importante</w:t>
      </w:r>
      <w:r w:rsidR="00B61553">
        <w:t xml:space="preserve">, come spiega la  Presidente del </w:t>
      </w:r>
      <w:r w:rsidR="00B61553" w:rsidRPr="00B61553">
        <w:t>CerpMed</w:t>
      </w:r>
      <w:r w:rsidR="00B61553">
        <w:t>, Amanda Jane Succi, secondo la quale la mission a medio-lungo termine della Sicilia è fare del Mediterraneo un mare “green”.</w:t>
      </w:r>
    </w:p>
    <w:p w14:paraId="312B6111" w14:textId="3CC5A741" w:rsidR="00B61553" w:rsidRDefault="00B61553" w:rsidP="00B61553">
      <w:pPr>
        <w:jc w:val="both"/>
      </w:pPr>
      <w:r>
        <w:t>Gli strumenti a disposizione del ruolo e della mission. L’agrivoltaico, ossia le applicazioni dell’energia solare in ambito agricolo, è un tema oggi da prima pagina come spiega Andrea Colantoni, dell’Università degli Studi della Tuscia, un esperto che sta portando le soluzioni, letteralmente, sul campo.  Le potenzialità in Sicilia sono notevoli, e oltre che sulla produzione energetica</w:t>
      </w:r>
      <w:r w:rsidR="00465B07">
        <w:t>,</w:t>
      </w:r>
      <w:r>
        <w:t xml:space="preserve"> l’agrivoltaico avrà un effetto benefico anche sulla capacità dei terreni di fronte alle caratteristiche del clima siciliano. </w:t>
      </w:r>
    </w:p>
    <w:p w14:paraId="6837923B" w14:textId="05DEABB9" w:rsidR="00B61553" w:rsidRDefault="00B61553" w:rsidP="00B61553">
      <w:pPr>
        <w:jc w:val="both"/>
      </w:pPr>
      <w:r>
        <w:t>L’energia una volta prodotta va portata dove serve</w:t>
      </w:r>
      <w:r w:rsidR="001A7979">
        <w:t xml:space="preserve">, esigenza urgente </w:t>
      </w:r>
      <w:r w:rsidR="00465B07">
        <w:t>anche dovuta alla n</w:t>
      </w:r>
      <w:r w:rsidR="001A7979">
        <w:t xml:space="preserve">on programmabilità delle rinnovabili. Questo è l’obiettivo dei grandi programmi strategici di connessione elettrica sottomarini, </w:t>
      </w:r>
      <w:r>
        <w:t xml:space="preserve">El Med </w:t>
      </w:r>
      <w:r w:rsidR="001A7979">
        <w:t xml:space="preserve">tra Tunisia e Sicilia </w:t>
      </w:r>
      <w:r>
        <w:t>e Thyrrenian Link</w:t>
      </w:r>
      <w:r w:rsidR="001A7979">
        <w:t>, “triangolare” tra Sicilia, Sardegna e Continente</w:t>
      </w:r>
      <w:r>
        <w:t xml:space="preserve">, </w:t>
      </w:r>
      <w:r w:rsidR="001A7979">
        <w:t xml:space="preserve">come spiega </w:t>
      </w:r>
      <w:r>
        <w:t xml:space="preserve">Terna, </w:t>
      </w:r>
      <w:r w:rsidR="001A7979">
        <w:t>che è responsabile della realizzazione.</w:t>
      </w:r>
    </w:p>
    <w:p w14:paraId="635127FE" w14:textId="18572694" w:rsidR="00B61553" w:rsidRDefault="001A7979" w:rsidP="00B61553">
      <w:pPr>
        <w:jc w:val="both"/>
      </w:pPr>
      <w:r>
        <w:t xml:space="preserve">Un focus speciale la sessione energia di MID.MED lo dedica ad un altro tema del momento, l’idrogeno. Dopo l’introduzione di inquadramento a cura di Bruno Cova del </w:t>
      </w:r>
      <w:r w:rsidR="00B61553">
        <w:t>CESI</w:t>
      </w:r>
      <w:r>
        <w:t xml:space="preserve">, coautore del recentissimo studio sull’impatto dell’idrogeno sul sistema elettrico, si entra nello specifico locale, a partire dal progetto “bandiera” presentato nell’ambito della strategia nazionale ed europea, illustrato da </w:t>
      </w:r>
      <w:r w:rsidR="00B61553">
        <w:t>Roberto Sannasardo, Energy Manager</w:t>
      </w:r>
      <w:r>
        <w:t xml:space="preserve"> della</w:t>
      </w:r>
      <w:r w:rsidR="00B61553">
        <w:t xml:space="preserve"> Regione Siciliana</w:t>
      </w:r>
      <w:r>
        <w:t>, per passare poi al contributo delle aziende con l’obiettivo della creazione di una</w:t>
      </w:r>
      <w:r w:rsidR="00B61553">
        <w:t xml:space="preserve"> creazione di una f</w:t>
      </w:r>
      <w:r>
        <w:t>iliera. Filiera di cui fanno a pieno titolo parte le imprese di gestione dei rifiuti, grazie alle nuove tecnologie waste-to-gas e w</w:t>
      </w:r>
      <w:r w:rsidR="00B61553">
        <w:t>aste-to-fuel</w:t>
      </w:r>
      <w:r>
        <w:t>.</w:t>
      </w:r>
    </w:p>
    <w:p w14:paraId="08FCC924" w14:textId="1B39646B" w:rsidR="00B61553" w:rsidRDefault="001A7979" w:rsidP="00B61553">
      <w:pPr>
        <w:jc w:val="both"/>
      </w:pPr>
      <w:r>
        <w:t>Un importante ruolo verso la sostenibili</w:t>
      </w:r>
      <w:r w:rsidR="004758F5">
        <w:t>tà</w:t>
      </w:r>
      <w:r>
        <w:t xml:space="preserve"> degli usi dell’energia</w:t>
      </w:r>
      <w:r w:rsidR="00465B07">
        <w:t>,</w:t>
      </w:r>
      <w:r>
        <w:t xml:space="preserve"> grazie alla minore impronta di carbonio e all’eliminazione di gran parte delle emissioni inquinanti e del particolato</w:t>
      </w:r>
      <w:r w:rsidR="004758F5">
        <w:t xml:space="preserve">, è il gas naturale liquefatto (LNG) </w:t>
      </w:r>
      <w:r w:rsidR="004758F5">
        <w:lastRenderedPageBreak/>
        <w:t>che, in attesa del bioLNG, si sta conquistando un ruolo anche nel</w:t>
      </w:r>
      <w:r w:rsidR="00B61553">
        <w:t xml:space="preserve"> tra</w:t>
      </w:r>
      <w:r w:rsidR="004758F5">
        <w:t xml:space="preserve">sporto marittimo a corto raggio, specialità di Caronte&amp;Tourist del Gruppo Caronte, rappresentato dal </w:t>
      </w:r>
      <w:r w:rsidR="00B61553">
        <w:t xml:space="preserve"> CEO, </w:t>
      </w:r>
      <w:r w:rsidR="004758F5">
        <w:t xml:space="preserve">Vincenzo Franza. </w:t>
      </w:r>
    </w:p>
    <w:p w14:paraId="64BD27E4" w14:textId="14168F58" w:rsidR="00B61553" w:rsidRDefault="004758F5" w:rsidP="00B61553">
      <w:pPr>
        <w:jc w:val="both"/>
      </w:pPr>
      <w:r>
        <w:t xml:space="preserve">Tutti questi progetti e iniziative richiedono investimenti, anche importanti. Dove reperire i fondi è sempre un problema. Il </w:t>
      </w:r>
      <w:r w:rsidR="00B61553">
        <w:t>project financing</w:t>
      </w:r>
      <w:r>
        <w:t xml:space="preserve"> applicato ai grandi progetti energetici costituisce una possibile soluzione, come spiega uno dei massimi esperti del settore, Enrico Vergani, Partner di</w:t>
      </w:r>
      <w:r w:rsidR="00B61553">
        <w:t xml:space="preserve"> BonelliErede</w:t>
      </w:r>
      <w:r>
        <w:t xml:space="preserve">. </w:t>
      </w:r>
    </w:p>
    <w:p w14:paraId="5209AC47" w14:textId="53801D6D" w:rsidR="00B61553" w:rsidRDefault="004758F5" w:rsidP="00B61553">
      <w:pPr>
        <w:jc w:val="both"/>
      </w:pPr>
      <w:r>
        <w:t>Altro punto dolent</w:t>
      </w:r>
      <w:r w:rsidR="00465B07">
        <w:t>e:</w:t>
      </w:r>
      <w:r>
        <w:t xml:space="preserve"> le competenze e le persone, un settore dove l’intervento diretto e il coordinamento dell’istituzione pubblica locale è fondamentale, perché le aziende privare se non trovano ciò che serve se ne vanno dove c'è. Il tema è di interesse precipuo per </w:t>
      </w:r>
      <w:r w:rsidR="00B61553">
        <w:t>Patrizia Valenti, Dirigente Generale Dip.</w:t>
      </w:r>
      <w:r>
        <w:t xml:space="preserve"> della formazione professionale della</w:t>
      </w:r>
      <w:r w:rsidR="00B61553">
        <w:t xml:space="preserve"> Regione Siciliana</w:t>
      </w:r>
      <w:r>
        <w:t xml:space="preserve">. </w:t>
      </w:r>
    </w:p>
    <w:p w14:paraId="5111AA8C" w14:textId="2AF94CD0" w:rsidR="00B61553" w:rsidRDefault="004758F5" w:rsidP="00B61553">
      <w:pPr>
        <w:jc w:val="both"/>
      </w:pPr>
      <w:r>
        <w:t xml:space="preserve">La Sicilia ha una tradizione di competenze professionali d’eccellenza, che però deve essere costantemente rinnovata. Lo spiega parlando del proprio impegno nella progettazione navale, che sta </w:t>
      </w:r>
      <w:r w:rsidR="007068E6">
        <w:t>continuando</w:t>
      </w:r>
      <w:r>
        <w:t xml:space="preserve"> ad avere successi importanti anche con “clienti” difficili come i coreani, </w:t>
      </w:r>
      <w:r w:rsidR="00B61553">
        <w:t>Vit</w:t>
      </w:r>
      <w:r w:rsidR="00CE299C">
        <w:t>o Busalacchi, Managing Director di</w:t>
      </w:r>
      <w:r w:rsidR="00B61553">
        <w:t xml:space="preserve"> Maritime Consultant</w:t>
      </w:r>
      <w:r w:rsidR="00CE299C">
        <w:t>.</w:t>
      </w:r>
    </w:p>
    <w:p w14:paraId="676CDE98" w14:textId="5620D560" w:rsidR="00AA4DA3" w:rsidRDefault="00CE299C" w:rsidP="00343870">
      <w:pPr>
        <w:jc w:val="both"/>
      </w:pPr>
      <w:r>
        <w:t xml:space="preserve">A chiusura della sessione, una relazione a due voci, a tratti sfidante delle opinioni acquisite sul </w:t>
      </w:r>
      <w:r w:rsidR="00B61553">
        <w:t xml:space="preserve"> contributo della Sicilia nella crisi energetica e il valore della Sicil</w:t>
      </w:r>
      <w:r>
        <w:t xml:space="preserve">ia nella transizione energetica, uno sguardo al futuro. </w:t>
      </w:r>
      <w:r w:rsidR="007068E6">
        <w:t xml:space="preserve">I relatori </w:t>
      </w:r>
      <w:r>
        <w:t xml:space="preserve">sono </w:t>
      </w:r>
      <w:r w:rsidR="00B61553">
        <w:t xml:space="preserve">Gian </w:t>
      </w:r>
      <w:r>
        <w:t xml:space="preserve">Carlo Poddighe, Vicepresidente del </w:t>
      </w:r>
      <w:r w:rsidR="00B61553">
        <w:t>CESMAR</w:t>
      </w:r>
      <w:r>
        <w:t>, e Ferdinando Franco Cazzini ora all’</w:t>
      </w:r>
      <w:r w:rsidR="00B61553">
        <w:t>Università degli Studi di Pavia</w:t>
      </w:r>
      <w:r>
        <w:t xml:space="preserve"> dove insegna geologia degli idrocarburi</w:t>
      </w:r>
      <w:r w:rsidR="007068E6">
        <w:t>.</w:t>
      </w:r>
    </w:p>
    <w:p w14:paraId="4FAEF6B9" w14:textId="705AB18A" w:rsidR="00AA4DA3" w:rsidRDefault="00AA4DA3" w:rsidP="00343870">
      <w:pPr>
        <w:jc w:val="both"/>
        <w:rPr>
          <w:b/>
        </w:rPr>
      </w:pPr>
      <w:r w:rsidRPr="00726BD5">
        <w:rPr>
          <w:b/>
          <w:i/>
          <w:lang w:val="en-US"/>
        </w:rPr>
        <w:t xml:space="preserve">MID.MED SHIPPING &amp; ENERGY FORUM 2022, è organizzato da Clickutility Team  e Propeller Club Port of Palermo . </w:t>
      </w:r>
      <w:r w:rsidRPr="00025D04">
        <w:rPr>
          <w:b/>
          <w:i/>
        </w:rPr>
        <w:t xml:space="preserve">La partecipazione è gratuita sia in presenza, sottoposta a vincoli di capienza, che in fruizione da remota, previa registrazione </w:t>
      </w:r>
      <w:r w:rsidR="00025D04" w:rsidRPr="00025D04">
        <w:rPr>
          <w:b/>
          <w:i/>
        </w:rPr>
        <w:t xml:space="preserve">all’indirizzo </w:t>
      </w:r>
      <w:r w:rsidRPr="00025D04">
        <w:rPr>
          <w:b/>
          <w:i/>
        </w:rPr>
        <w:t xml:space="preserve"> </w:t>
      </w:r>
      <w:hyperlink r:id="rId8" w:history="1">
        <w:r w:rsidR="00025D04" w:rsidRPr="00025D04">
          <w:rPr>
            <w:rStyle w:val="Collegamentoipertestuale"/>
            <w:b/>
            <w:i/>
          </w:rPr>
          <w:t>https://www.midmed.it/tc-events/mid-med-shipping-energy-forum-2022/#</w:t>
        </w:r>
      </w:hyperlink>
      <w:r w:rsidR="00025D04" w:rsidRPr="00025D04">
        <w:rPr>
          <w:b/>
          <w:i/>
        </w:rPr>
        <w:t xml:space="preserve"> . Sul sito midmed.it è possibile consultare l’agenda di dettaglio costantemente aggiornata</w:t>
      </w:r>
      <w:r w:rsidR="00025D04">
        <w:rPr>
          <w:b/>
        </w:rPr>
        <w:t>.</w:t>
      </w:r>
    </w:p>
    <w:p w14:paraId="179318CD" w14:textId="77777777" w:rsidR="00025D04" w:rsidRPr="00025D04" w:rsidRDefault="00025D04" w:rsidP="00343870">
      <w:pPr>
        <w:spacing w:after="0" w:line="240" w:lineRule="auto"/>
        <w:jc w:val="both"/>
        <w:rPr>
          <w:rFonts w:ascii="Lato" w:eastAsia="MS Mincho" w:hAnsi="Lato" w:cs="Segoe UI"/>
          <w:b/>
          <w:sz w:val="20"/>
          <w:szCs w:val="24"/>
        </w:rPr>
      </w:pPr>
      <w:r w:rsidRPr="00025D04">
        <w:rPr>
          <w:rFonts w:ascii="Lato" w:eastAsia="MS Mincho" w:hAnsi="Lato" w:cs="Segoe UI"/>
          <w:b/>
          <w:sz w:val="20"/>
          <w:szCs w:val="24"/>
        </w:rPr>
        <w:t>UFFICIO STAMPA E MEDIA RELATIONS</w:t>
      </w:r>
    </w:p>
    <w:p w14:paraId="012B1E7C" w14:textId="77777777" w:rsidR="00025D04" w:rsidRPr="00025D04" w:rsidRDefault="00025D04" w:rsidP="00343870">
      <w:pPr>
        <w:spacing w:after="0" w:line="240" w:lineRule="auto"/>
        <w:jc w:val="both"/>
        <w:rPr>
          <w:rFonts w:ascii="Lato" w:eastAsia="MS Mincho" w:hAnsi="Lato" w:cs="Segoe UI"/>
          <w:b/>
          <w:sz w:val="20"/>
          <w:szCs w:val="24"/>
        </w:rPr>
      </w:pPr>
      <w:r w:rsidRPr="00025D04">
        <w:rPr>
          <w:rFonts w:ascii="Lato" w:eastAsia="MS Mincho" w:hAnsi="Lato" w:cs="Segoe UI"/>
          <w:b/>
          <w:sz w:val="20"/>
          <w:szCs w:val="24"/>
        </w:rPr>
        <w:t>Studio Comelli – Conferences&amp;Communication</w:t>
      </w:r>
    </w:p>
    <w:p w14:paraId="6E3D1C63" w14:textId="77777777" w:rsidR="00025D04" w:rsidRPr="00025D04" w:rsidRDefault="00025D04" w:rsidP="00343870">
      <w:pPr>
        <w:spacing w:after="0" w:line="240" w:lineRule="auto"/>
        <w:jc w:val="both"/>
        <w:rPr>
          <w:rFonts w:ascii="Lato" w:eastAsia="MS Mincho" w:hAnsi="Lato" w:cs="Segoe UI"/>
          <w:sz w:val="20"/>
          <w:szCs w:val="24"/>
        </w:rPr>
      </w:pPr>
      <w:r w:rsidRPr="00025D04">
        <w:rPr>
          <w:rFonts w:ascii="Lato" w:eastAsia="MS Mincho" w:hAnsi="Lato" w:cs="Segoe UI"/>
          <w:sz w:val="20"/>
          <w:szCs w:val="24"/>
        </w:rPr>
        <w:t xml:space="preserve">Aurora Marin - </w:t>
      </w:r>
      <w:hyperlink r:id="rId9" w:history="1">
        <w:r w:rsidRPr="00025D04">
          <w:rPr>
            <w:rFonts w:ascii="Lato" w:eastAsia="MS Mincho" w:hAnsi="Lato" w:cs="Segoe UI"/>
            <w:color w:val="0000FF"/>
            <w:sz w:val="20"/>
            <w:szCs w:val="24"/>
            <w:u w:val="single"/>
          </w:rPr>
          <w:t>aurora@studiocomelli.eu</w:t>
        </w:r>
      </w:hyperlink>
      <w:r w:rsidRPr="00025D04">
        <w:rPr>
          <w:rFonts w:ascii="Lato" w:eastAsia="MS Mincho" w:hAnsi="Lato" w:cs="Segoe UI"/>
          <w:sz w:val="20"/>
          <w:szCs w:val="24"/>
        </w:rPr>
        <w:t xml:space="preserve"> – 347 1722820</w:t>
      </w:r>
    </w:p>
    <w:p w14:paraId="6259F125" w14:textId="77777777" w:rsidR="00025D04" w:rsidRPr="0055700D" w:rsidRDefault="00025D04" w:rsidP="00062FAB"/>
    <w:p w14:paraId="518A6901" w14:textId="77777777" w:rsidR="00631B64" w:rsidRPr="00115D68" w:rsidRDefault="00631B64" w:rsidP="00062FAB">
      <w:pPr>
        <w:rPr>
          <w:b/>
        </w:rPr>
      </w:pPr>
    </w:p>
    <w:p w14:paraId="45EB34A3" w14:textId="77777777" w:rsidR="00D965C8" w:rsidRDefault="00D965C8" w:rsidP="00062FAB">
      <w:pPr>
        <w:rPr>
          <w:b/>
        </w:rPr>
      </w:pPr>
    </w:p>
    <w:p w14:paraId="6A96E40E" w14:textId="77777777" w:rsidR="005F33E0" w:rsidRPr="00062FAB" w:rsidRDefault="005F33E0" w:rsidP="00062FAB"/>
    <w:sectPr w:rsidR="005F33E0" w:rsidRPr="00062FAB">
      <w:headerReference w:type="default" r:id="rId10"/>
      <w:footerReference w:type="default" r:id="rId11"/>
      <w:pgSz w:w="11906" w:h="16838"/>
      <w:pgMar w:top="1417" w:right="1134" w:bottom="1134" w:left="1134" w:header="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4147" w14:textId="77777777" w:rsidR="00167F05" w:rsidRDefault="00167F05">
      <w:pPr>
        <w:spacing w:after="0" w:line="240" w:lineRule="auto"/>
      </w:pPr>
      <w:r>
        <w:separator/>
      </w:r>
    </w:p>
  </w:endnote>
  <w:endnote w:type="continuationSeparator" w:id="0">
    <w:p w14:paraId="0DDB57D5" w14:textId="77777777" w:rsidR="00167F05" w:rsidRDefault="0016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YLOVASTUFF">
    <w:altName w:val="Times New Roman"/>
    <w:charset w:val="00"/>
    <w:family w:val="auto"/>
    <w:pitch w:val="default"/>
  </w:font>
  <w:font w:name="D-D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5CD3" w14:textId="77777777" w:rsidR="005F33E0" w:rsidRDefault="005F33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 w:line="240" w:lineRule="auto"/>
      <w:jc w:val="center"/>
      <w:rPr>
        <w:rFonts w:ascii="DYLOVASTUFF" w:eastAsia="DYLOVASTUFF" w:hAnsi="DYLOVASTUFF" w:cs="DYLOVASTUFF"/>
        <w:b/>
        <w:color w:val="1E3B87"/>
      </w:rPr>
    </w:pPr>
  </w:p>
  <w:p w14:paraId="5D64C88B" w14:textId="77777777" w:rsidR="005F33E0" w:rsidRDefault="008164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 w:line="240" w:lineRule="auto"/>
      <w:jc w:val="center"/>
      <w:rPr>
        <w:rFonts w:ascii="DYLOVASTUFF" w:eastAsia="DYLOVASTUFF" w:hAnsi="DYLOVASTUFF" w:cs="DYLOVASTUFF"/>
        <w:b/>
        <w:color w:val="1E3B87"/>
      </w:rPr>
    </w:pPr>
    <w:r>
      <w:rPr>
        <w:rFonts w:ascii="DYLOVASTUFF" w:eastAsia="DYLOVASTUFF" w:hAnsi="DYLOVASTUFF" w:cs="DYLOVASTUFF"/>
        <w:b/>
        <w:color w:val="1E3B87"/>
      </w:rPr>
      <w:t>ORGANIZZATO DA</w:t>
    </w:r>
  </w:p>
  <w:p w14:paraId="7E6E6EAD" w14:textId="77777777" w:rsidR="005F33E0" w:rsidRDefault="008164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60CE6EA" wp14:editId="6803879B">
          <wp:extent cx="1210806" cy="288000"/>
          <wp:effectExtent l="0" t="0" r="0" b="0"/>
          <wp:docPr id="1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0806" cy="2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</w:t>
    </w:r>
  </w:p>
  <w:p w14:paraId="6D98EF69" w14:textId="77777777" w:rsidR="005F33E0" w:rsidRDefault="005F33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D-DIN" w:eastAsia="D-DIN" w:hAnsi="D-DIN" w:cs="D-DIN"/>
        <w:color w:val="000000"/>
      </w:rPr>
    </w:pPr>
  </w:p>
  <w:p w14:paraId="1F25860F" w14:textId="77777777" w:rsidR="005F33E0" w:rsidRDefault="008164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D-DIN" w:eastAsia="D-DIN" w:hAnsi="D-DIN" w:cs="D-DIN"/>
        <w:b/>
        <w:color w:val="1E3B87"/>
      </w:rPr>
    </w:pPr>
    <w:r>
      <w:rPr>
        <w:rFonts w:ascii="D-DIN" w:eastAsia="D-DIN" w:hAnsi="D-DIN" w:cs="D-DIN"/>
        <w:b/>
        <w:color w:val="1E3B87"/>
      </w:rPr>
      <w:t xml:space="preserve">Segreteria Organizzativa </w:t>
    </w:r>
  </w:p>
  <w:p w14:paraId="7D94AB1D" w14:textId="77777777" w:rsidR="005F33E0" w:rsidRDefault="008164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D-DIN" w:eastAsia="D-DIN" w:hAnsi="D-DIN" w:cs="D-DIN"/>
        <w:color w:val="1E3B87"/>
      </w:rPr>
    </w:pPr>
    <w:r>
      <w:rPr>
        <w:rFonts w:ascii="D-DIN" w:eastAsia="D-DIN" w:hAnsi="D-DIN" w:cs="D-DIN"/>
        <w:color w:val="1E3B87"/>
      </w:rPr>
      <w:t>Clickutility Team SRL</w:t>
    </w:r>
  </w:p>
  <w:p w14:paraId="4B75642E" w14:textId="77777777" w:rsidR="005F33E0" w:rsidRDefault="008164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D-DIN" w:eastAsia="D-DIN" w:hAnsi="D-DIN" w:cs="D-DIN"/>
        <w:color w:val="1E3B87"/>
      </w:rPr>
    </w:pPr>
    <w:r>
      <w:rPr>
        <w:rFonts w:ascii="D-DIN" w:eastAsia="D-DIN" w:hAnsi="D-DIN" w:cs="D-DIN"/>
        <w:color w:val="1E3B87"/>
      </w:rPr>
      <w:t>Palazzo Salvago Pinelli - Via San Luca, 12/53 16124 Genova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7F54" w14:textId="77777777" w:rsidR="00167F05" w:rsidRDefault="00167F05">
      <w:pPr>
        <w:spacing w:after="0" w:line="240" w:lineRule="auto"/>
      </w:pPr>
      <w:r>
        <w:separator/>
      </w:r>
    </w:p>
  </w:footnote>
  <w:footnote w:type="continuationSeparator" w:id="0">
    <w:p w14:paraId="0EDD7C53" w14:textId="77777777" w:rsidR="00167F05" w:rsidRDefault="0016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7B09" w14:textId="77777777" w:rsidR="005F33E0" w:rsidRDefault="005F33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0A33D72C" w14:textId="77777777" w:rsidR="005F33E0" w:rsidRDefault="00633D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18A494E" wp14:editId="512AE7D6">
          <wp:extent cx="2428875" cy="148534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D.MED-Shipping-Days-logo+data-18-05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830" cy="1486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8E0"/>
    <w:multiLevelType w:val="hybridMultilevel"/>
    <w:tmpl w:val="984C2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16109"/>
    <w:multiLevelType w:val="hybridMultilevel"/>
    <w:tmpl w:val="E4C85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199C"/>
    <w:multiLevelType w:val="hybridMultilevel"/>
    <w:tmpl w:val="4F142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D4F52"/>
    <w:multiLevelType w:val="hybridMultilevel"/>
    <w:tmpl w:val="AAD8A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C1C0A"/>
    <w:multiLevelType w:val="hybridMultilevel"/>
    <w:tmpl w:val="B9686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F5775"/>
    <w:multiLevelType w:val="hybridMultilevel"/>
    <w:tmpl w:val="B9E65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07421"/>
    <w:multiLevelType w:val="hybridMultilevel"/>
    <w:tmpl w:val="CE28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07841">
    <w:abstractNumId w:val="6"/>
  </w:num>
  <w:num w:numId="2" w16cid:durableId="2075739718">
    <w:abstractNumId w:val="3"/>
  </w:num>
  <w:num w:numId="3" w16cid:durableId="2100369265">
    <w:abstractNumId w:val="0"/>
  </w:num>
  <w:num w:numId="4" w16cid:durableId="695161342">
    <w:abstractNumId w:val="5"/>
  </w:num>
  <w:num w:numId="5" w16cid:durableId="1409882791">
    <w:abstractNumId w:val="2"/>
  </w:num>
  <w:num w:numId="6" w16cid:durableId="1829711768">
    <w:abstractNumId w:val="4"/>
  </w:num>
  <w:num w:numId="7" w16cid:durableId="503009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3E0"/>
    <w:rsid w:val="00025D04"/>
    <w:rsid w:val="00062FAB"/>
    <w:rsid w:val="000A037D"/>
    <w:rsid w:val="000A24D3"/>
    <w:rsid w:val="000B084D"/>
    <w:rsid w:val="000B1A35"/>
    <w:rsid w:val="00167577"/>
    <w:rsid w:val="00167F05"/>
    <w:rsid w:val="00172817"/>
    <w:rsid w:val="001A7979"/>
    <w:rsid w:val="001E345B"/>
    <w:rsid w:val="001E356C"/>
    <w:rsid w:val="001F06B2"/>
    <w:rsid w:val="0021557E"/>
    <w:rsid w:val="0025189D"/>
    <w:rsid w:val="002548BC"/>
    <w:rsid w:val="00296A29"/>
    <w:rsid w:val="003051FD"/>
    <w:rsid w:val="003114BA"/>
    <w:rsid w:val="00331F44"/>
    <w:rsid w:val="00343870"/>
    <w:rsid w:val="00361835"/>
    <w:rsid w:val="003774CE"/>
    <w:rsid w:val="003C4949"/>
    <w:rsid w:val="003F71EE"/>
    <w:rsid w:val="00423C90"/>
    <w:rsid w:val="00446F6A"/>
    <w:rsid w:val="00461649"/>
    <w:rsid w:val="00465B07"/>
    <w:rsid w:val="004758F5"/>
    <w:rsid w:val="00475A3B"/>
    <w:rsid w:val="004B788C"/>
    <w:rsid w:val="004D5BE4"/>
    <w:rsid w:val="00541199"/>
    <w:rsid w:val="0055700D"/>
    <w:rsid w:val="005B1A9E"/>
    <w:rsid w:val="005B301E"/>
    <w:rsid w:val="005B4599"/>
    <w:rsid w:val="005E2674"/>
    <w:rsid w:val="005F33E0"/>
    <w:rsid w:val="00603F17"/>
    <w:rsid w:val="00631B64"/>
    <w:rsid w:val="00633D0A"/>
    <w:rsid w:val="0067390C"/>
    <w:rsid w:val="006A69BD"/>
    <w:rsid w:val="006F57CC"/>
    <w:rsid w:val="00702C1A"/>
    <w:rsid w:val="007068E6"/>
    <w:rsid w:val="007217B6"/>
    <w:rsid w:val="00726BCE"/>
    <w:rsid w:val="00726BD5"/>
    <w:rsid w:val="00775A28"/>
    <w:rsid w:val="00782E42"/>
    <w:rsid w:val="007969AD"/>
    <w:rsid w:val="007B01B4"/>
    <w:rsid w:val="007B2626"/>
    <w:rsid w:val="008164A3"/>
    <w:rsid w:val="008367F1"/>
    <w:rsid w:val="0084200D"/>
    <w:rsid w:val="008521B0"/>
    <w:rsid w:val="00862A65"/>
    <w:rsid w:val="008D7FD1"/>
    <w:rsid w:val="008F7383"/>
    <w:rsid w:val="00932E40"/>
    <w:rsid w:val="00971D6B"/>
    <w:rsid w:val="00994705"/>
    <w:rsid w:val="009A4AC9"/>
    <w:rsid w:val="009C6D80"/>
    <w:rsid w:val="00A857EB"/>
    <w:rsid w:val="00A9644D"/>
    <w:rsid w:val="00AA0BA5"/>
    <w:rsid w:val="00AA4DA3"/>
    <w:rsid w:val="00AB2514"/>
    <w:rsid w:val="00AD3961"/>
    <w:rsid w:val="00AD58FF"/>
    <w:rsid w:val="00B11792"/>
    <w:rsid w:val="00B24952"/>
    <w:rsid w:val="00B34A78"/>
    <w:rsid w:val="00B36692"/>
    <w:rsid w:val="00B61553"/>
    <w:rsid w:val="00B63872"/>
    <w:rsid w:val="00BE54CA"/>
    <w:rsid w:val="00C07850"/>
    <w:rsid w:val="00C32271"/>
    <w:rsid w:val="00C512D9"/>
    <w:rsid w:val="00C81B7A"/>
    <w:rsid w:val="00C917F3"/>
    <w:rsid w:val="00C91DE2"/>
    <w:rsid w:val="00CE299C"/>
    <w:rsid w:val="00D24B5E"/>
    <w:rsid w:val="00D51389"/>
    <w:rsid w:val="00D77AF8"/>
    <w:rsid w:val="00D965C8"/>
    <w:rsid w:val="00E2201B"/>
    <w:rsid w:val="00E95B1E"/>
    <w:rsid w:val="00E96FAC"/>
    <w:rsid w:val="00EB3087"/>
    <w:rsid w:val="00EB6F7A"/>
    <w:rsid w:val="00FA5B32"/>
    <w:rsid w:val="00FA61DF"/>
    <w:rsid w:val="00F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D20B6"/>
  <w15:docId w15:val="{484A41BA-3BAD-4339-954B-0A461091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23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0BB"/>
  </w:style>
  <w:style w:type="paragraph" w:styleId="Pidipagina">
    <w:name w:val="footer"/>
    <w:basedOn w:val="Normale"/>
    <w:link w:val="PidipaginaCarattere"/>
    <w:uiPriority w:val="99"/>
    <w:unhideWhenUsed/>
    <w:rsid w:val="00D23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0BB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674"/>
    <w:rPr>
      <w:rFonts w:ascii="Tahoma" w:hAnsi="Tahoma" w:cs="Tahoma"/>
      <w:sz w:val="16"/>
      <w:szCs w:val="16"/>
    </w:rPr>
  </w:style>
  <w:style w:type="character" w:customStyle="1" w:styleId="lrzxr">
    <w:name w:val="lrzxr"/>
    <w:basedOn w:val="Carpredefinitoparagrafo"/>
    <w:rsid w:val="00C07850"/>
  </w:style>
  <w:style w:type="character" w:styleId="Collegamentoipertestuale">
    <w:name w:val="Hyperlink"/>
    <w:basedOn w:val="Carpredefinitoparagrafo"/>
    <w:uiPriority w:val="99"/>
    <w:unhideWhenUsed/>
    <w:rsid w:val="00C0785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81B7A"/>
    <w:pPr>
      <w:ind w:left="720"/>
      <w:contextualSpacing/>
    </w:pPr>
  </w:style>
  <w:style w:type="paragraph" w:styleId="Revisione">
    <w:name w:val="Revision"/>
    <w:hidden/>
    <w:uiPriority w:val="99"/>
    <w:semiHidden/>
    <w:rsid w:val="00D77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dmed.it/tc-events/mid-med-shipping-energy-forum-202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rora@studiocomelli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a6m4beNLx/vwiqny4uUaiOTRjg==">AMUW2mWJLiXVva3Jti2PgyOkDA0I+UvspLhQj9uDoAvKUlqBWhMLtSzhXVPVPRwVGWaKIsNY0qAGPIogjkY79E8wM0cLC3mu8uAOtxf9jjhRz4qTZsqb+G0=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minniti</dc:creator>
  <cp:lastModifiedBy>Aurora Marin</cp:lastModifiedBy>
  <cp:revision>5</cp:revision>
  <dcterms:created xsi:type="dcterms:W3CDTF">2022-06-24T10:07:00Z</dcterms:created>
  <dcterms:modified xsi:type="dcterms:W3CDTF">2022-06-27T07:41:00Z</dcterms:modified>
</cp:coreProperties>
</file>